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95" w:type="dxa"/>
        <w:tblCellSpacing w:w="15" w:type="dxa"/>
        <w:tblBorders>
          <w:top w:val="single" w:sz="2" w:space="0" w:color="auto"/>
          <w:left w:val="single" w:sz="2" w:space="0" w:color="auto"/>
          <w:bottom w:val="single" w:sz="2" w:space="0" w:color="auto"/>
          <w:right w:val="single" w:sz="2" w:space="0" w:color="auto"/>
        </w:tblBorders>
        <w:tblCellMar>
          <w:top w:w="15" w:type="dxa"/>
          <w:left w:w="15" w:type="dxa"/>
          <w:bottom w:w="15" w:type="dxa"/>
          <w:right w:w="15" w:type="dxa"/>
        </w:tblCellMar>
        <w:tblLook w:val="04A0" w:firstRow="1" w:lastRow="0" w:firstColumn="1" w:lastColumn="0" w:noHBand="0" w:noVBand="1"/>
      </w:tblPr>
      <w:tblGrid>
        <w:gridCol w:w="842"/>
        <w:gridCol w:w="7171"/>
        <w:gridCol w:w="500"/>
        <w:gridCol w:w="582"/>
        <w:gridCol w:w="700"/>
      </w:tblGrid>
      <w:tr w:rsidR="00D0114C" w:rsidRPr="00D0114C" w14:paraId="6920EEDB" w14:textId="77777777" w:rsidTr="00D0114C">
        <w:trPr>
          <w:tblHeader/>
          <w:tblCellSpacing w:w="15" w:type="dxa"/>
        </w:trPr>
        <w:tc>
          <w:tcPr>
            <w:tcW w:w="0" w:type="auto"/>
            <w:tcBorders>
              <w:top w:val="single" w:sz="6" w:space="0" w:color="D9D9E3"/>
              <w:left w:val="single" w:sz="6" w:space="0" w:color="D9D9E3"/>
              <w:bottom w:val="single" w:sz="6" w:space="0" w:color="D9D9E3"/>
              <w:right w:val="single" w:sz="2" w:space="0" w:color="D9D9E3"/>
            </w:tcBorders>
            <w:vAlign w:val="bottom"/>
            <w:hideMark/>
          </w:tcPr>
          <w:p w14:paraId="6B3EAD7A" w14:textId="77777777" w:rsidR="00D0114C" w:rsidRPr="00D0114C" w:rsidRDefault="00D0114C" w:rsidP="00D0114C">
            <w:pPr>
              <w:spacing w:after="0" w:line="240" w:lineRule="auto"/>
              <w:jc w:val="center"/>
              <w:rPr>
                <w:rFonts w:ascii="Times New Roman" w:eastAsia="Times New Roman" w:hAnsi="Times New Roman" w:cs="Times New Roman"/>
                <w:b/>
                <w:bCs/>
                <w:sz w:val="21"/>
                <w:szCs w:val="21"/>
                <w:lang w:eastAsia="en-GB"/>
              </w:rPr>
            </w:pPr>
            <w:r w:rsidRPr="00D0114C">
              <w:rPr>
                <w:rFonts w:ascii="Times New Roman" w:eastAsia="Times New Roman" w:hAnsi="Times New Roman" w:cs="Times New Roman"/>
                <w:b/>
                <w:bCs/>
                <w:sz w:val="21"/>
                <w:szCs w:val="21"/>
                <w:lang w:eastAsia="en-GB"/>
              </w:rPr>
              <w:t>Number</w:t>
            </w:r>
          </w:p>
        </w:tc>
        <w:tc>
          <w:tcPr>
            <w:tcW w:w="0" w:type="auto"/>
            <w:tcBorders>
              <w:top w:val="single" w:sz="6" w:space="0" w:color="D9D9E3"/>
              <w:left w:val="single" w:sz="6" w:space="0" w:color="D9D9E3"/>
              <w:bottom w:val="single" w:sz="6" w:space="0" w:color="D9D9E3"/>
              <w:right w:val="single" w:sz="2" w:space="0" w:color="D9D9E3"/>
            </w:tcBorders>
            <w:vAlign w:val="bottom"/>
            <w:hideMark/>
          </w:tcPr>
          <w:p w14:paraId="5E92153C" w14:textId="77777777" w:rsidR="00D0114C" w:rsidRPr="00D0114C" w:rsidRDefault="00D0114C" w:rsidP="00D0114C">
            <w:pPr>
              <w:spacing w:after="0" w:line="240" w:lineRule="auto"/>
              <w:jc w:val="center"/>
              <w:rPr>
                <w:rFonts w:ascii="Times New Roman" w:eastAsia="Times New Roman" w:hAnsi="Times New Roman" w:cs="Times New Roman"/>
                <w:b/>
                <w:bCs/>
                <w:sz w:val="21"/>
                <w:szCs w:val="21"/>
                <w:lang w:eastAsia="en-GB"/>
              </w:rPr>
            </w:pPr>
            <w:r w:rsidRPr="00D0114C">
              <w:rPr>
                <w:rFonts w:ascii="Times New Roman" w:eastAsia="Times New Roman" w:hAnsi="Times New Roman" w:cs="Times New Roman"/>
                <w:b/>
                <w:bCs/>
                <w:sz w:val="21"/>
                <w:szCs w:val="21"/>
                <w:lang w:eastAsia="en-GB"/>
              </w:rPr>
              <w:t>Checklist Item</w:t>
            </w:r>
          </w:p>
        </w:tc>
        <w:tc>
          <w:tcPr>
            <w:tcW w:w="0" w:type="auto"/>
            <w:tcBorders>
              <w:top w:val="single" w:sz="6" w:space="0" w:color="D9D9E3"/>
              <w:left w:val="single" w:sz="6" w:space="0" w:color="D9D9E3"/>
              <w:bottom w:val="single" w:sz="6" w:space="0" w:color="D9D9E3"/>
              <w:right w:val="single" w:sz="2" w:space="0" w:color="D9D9E3"/>
            </w:tcBorders>
            <w:vAlign w:val="bottom"/>
            <w:hideMark/>
          </w:tcPr>
          <w:p w14:paraId="254578A3" w14:textId="77777777" w:rsidR="00D0114C" w:rsidRPr="00D0114C" w:rsidRDefault="00D0114C" w:rsidP="00D0114C">
            <w:pPr>
              <w:spacing w:after="0" w:line="240" w:lineRule="auto"/>
              <w:jc w:val="center"/>
              <w:rPr>
                <w:rFonts w:ascii="Times New Roman" w:eastAsia="Times New Roman" w:hAnsi="Times New Roman" w:cs="Times New Roman"/>
                <w:b/>
                <w:bCs/>
                <w:sz w:val="21"/>
                <w:szCs w:val="21"/>
                <w:lang w:eastAsia="en-GB"/>
              </w:rPr>
            </w:pPr>
            <w:r w:rsidRPr="00D0114C">
              <w:rPr>
                <w:rFonts w:ascii="Times New Roman" w:eastAsia="Times New Roman" w:hAnsi="Times New Roman" w:cs="Times New Roman"/>
                <w:b/>
                <w:bCs/>
                <w:sz w:val="21"/>
                <w:szCs w:val="21"/>
                <w:lang w:eastAsia="en-GB"/>
              </w:rPr>
              <w:t>Date</w:t>
            </w:r>
          </w:p>
        </w:tc>
        <w:tc>
          <w:tcPr>
            <w:tcW w:w="0" w:type="auto"/>
            <w:tcBorders>
              <w:top w:val="single" w:sz="6" w:space="0" w:color="D9D9E3"/>
              <w:left w:val="single" w:sz="6" w:space="0" w:color="D9D9E3"/>
              <w:bottom w:val="single" w:sz="6" w:space="0" w:color="D9D9E3"/>
              <w:right w:val="single" w:sz="2" w:space="0" w:color="D9D9E3"/>
            </w:tcBorders>
            <w:vAlign w:val="bottom"/>
            <w:hideMark/>
          </w:tcPr>
          <w:p w14:paraId="7531D6E2" w14:textId="77777777" w:rsidR="00D0114C" w:rsidRPr="00D0114C" w:rsidRDefault="00D0114C" w:rsidP="00D0114C">
            <w:pPr>
              <w:spacing w:after="0" w:line="240" w:lineRule="auto"/>
              <w:jc w:val="center"/>
              <w:rPr>
                <w:rFonts w:ascii="Times New Roman" w:eastAsia="Times New Roman" w:hAnsi="Times New Roman" w:cs="Times New Roman"/>
                <w:b/>
                <w:bCs/>
                <w:sz w:val="21"/>
                <w:szCs w:val="21"/>
                <w:lang w:eastAsia="en-GB"/>
              </w:rPr>
            </w:pPr>
            <w:r w:rsidRPr="00D0114C">
              <w:rPr>
                <w:rFonts w:ascii="Times New Roman" w:eastAsia="Times New Roman" w:hAnsi="Times New Roman" w:cs="Times New Roman"/>
                <w:b/>
                <w:bCs/>
                <w:sz w:val="21"/>
                <w:szCs w:val="21"/>
                <w:lang w:eastAsia="en-GB"/>
              </w:rPr>
              <w:t>Notes</w:t>
            </w:r>
          </w:p>
        </w:tc>
        <w:tc>
          <w:tcPr>
            <w:tcW w:w="0" w:type="auto"/>
            <w:tcBorders>
              <w:top w:val="single" w:sz="6" w:space="0" w:color="D9D9E3"/>
              <w:left w:val="single" w:sz="6" w:space="0" w:color="D9D9E3"/>
              <w:bottom w:val="single" w:sz="6" w:space="0" w:color="D9D9E3"/>
              <w:right w:val="single" w:sz="6" w:space="0" w:color="D9D9E3"/>
            </w:tcBorders>
            <w:vAlign w:val="bottom"/>
            <w:hideMark/>
          </w:tcPr>
          <w:p w14:paraId="140D9BDB" w14:textId="77777777" w:rsidR="00D0114C" w:rsidRPr="00D0114C" w:rsidRDefault="00D0114C" w:rsidP="00D0114C">
            <w:pPr>
              <w:spacing w:after="0" w:line="240" w:lineRule="auto"/>
              <w:jc w:val="center"/>
              <w:rPr>
                <w:rFonts w:ascii="Times New Roman" w:eastAsia="Times New Roman" w:hAnsi="Times New Roman" w:cs="Times New Roman"/>
                <w:b/>
                <w:bCs/>
                <w:sz w:val="21"/>
                <w:szCs w:val="21"/>
                <w:lang w:eastAsia="en-GB"/>
              </w:rPr>
            </w:pPr>
            <w:r w:rsidRPr="00D0114C">
              <w:rPr>
                <w:rFonts w:ascii="Times New Roman" w:eastAsia="Times New Roman" w:hAnsi="Times New Roman" w:cs="Times New Roman"/>
                <w:b/>
                <w:bCs/>
                <w:sz w:val="21"/>
                <w:szCs w:val="21"/>
                <w:lang w:eastAsia="en-GB"/>
              </w:rPr>
              <w:t>Action</w:t>
            </w:r>
          </w:p>
        </w:tc>
      </w:tr>
      <w:tr w:rsidR="00D0114C" w:rsidRPr="00D0114C" w14:paraId="1000C46C"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2F7840A5"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354C1CC"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Check the dry matter content of the organic feedstock and adjust the amount of water added if necessary to optimize yield.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59B905E"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4BFE3725"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72966DD7"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2E77D14D"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087C2BB2"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2</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1EA4F195"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Monitor the volatile solids content of the feedstock to ensure it is within recommended limits for the digester, and adjust the feedstock mix if necessary to maintain a stable system.</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8D49129"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4DD195EE"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7C71A299"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0DA41E33"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45A54B6B"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3</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714B168B"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Measure biogas output per tonne of volatile solids to monitor system performance, and adjust feedstock mix or other operational parameters if biogas production is lower than expected.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8ACC80E"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4783C123"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249545D1"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0E4A4893"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6C2731A3"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4</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6A83360"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Measure methane content in biogas to ensure it is within the recommended range for efficient energy production.</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DC7B8C6"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2086809"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378BEE85"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629FEF9F"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52CEE43A"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5</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6166115"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Monitor for inhibiting components in the feedstock, such as high nitrogen content, copper sulphide, or antibiotics, which may inhibit digestion and reduce yield.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03973E92"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C4815A5"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54733408"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521078A8"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2CB88300"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6</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D86617B"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Develop a plan for introducing new materials into the digester and monitor and adjust feedstock mix and agitation times to prevent excessive foaming or other issues.</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7567449"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7AB81518"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030E2E3C"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70646832"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5CF19C19"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7</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BFE5E79"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Work with a consultant familiar with biogas technology to accurately estimate energy yields for feedstocks and optimize operational parameters for maximum yield.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87B174F"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1539F2E4"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6B27C95A"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0E0FADC1"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56FE3296"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8</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70E77809"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Monitor and maintain proper temperature, pH, and other environmental conditions within the digester to support microbial activity and optimize yield.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7AF4DF69"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1F2BBFF3"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6C6F8A0B"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5DB59484"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0A896C01"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9</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5012041"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Regularly inspect and maintain equipment, including pumps, mixers, and heating systems, to ensure efficient and reliable operation.</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73F38CE"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F72EC7C"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36E72CFC"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3359A8E0"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1A0F650C"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10</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BA42FB6"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Keep detailed records of feedstock mix, operational parameters, and yield to identify trends and make informed decisions to optimize performance over time.</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44C7355B"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956AE8A"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7D72ACBC"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7A643D84"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11B06787"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11</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7806AD4"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Check for the presence of plastic or other inert materials in the feedstock that may not be effectively broken down by the digester and could cause a loss of biogas yield. This may require additional pre-treatment of the feedstock to remove these materials.</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48F171D"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1076940C"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301A420A"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06C22346"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7298E085"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12</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DEA39FC" w14:textId="533E24E0"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Inspect the digester regularly for leaks or other issues that could be causing a loss of biogas yield. This includes checking the reactor cover, piping, and other components for signs of damage or wear.</w:t>
            </w:r>
            <w:r>
              <w:rPr>
                <w:rFonts w:ascii="Times New Roman" w:eastAsia="Times New Roman" w:hAnsi="Times New Roman" w:cs="Times New Roman"/>
                <w:sz w:val="21"/>
                <w:szCs w:val="21"/>
                <w:lang w:eastAsia="en-GB"/>
              </w:rPr>
              <w:t xml:space="preserve"> Consider hiring a methane leak detection specialist to visit the Anaerobic Digestion Plant regularly to use advanced optical and other sensing devices to seek out methane leaks.</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4DBF797F"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45A4EE34"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63531E66"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53812CFA"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60CFDD57"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13</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16B3331" w14:textId="073A1DDB"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Monitor the quality of the biogas produced, including impurities such as hydrogen sul</w:t>
            </w:r>
            <w:r>
              <w:rPr>
                <w:rFonts w:ascii="Times New Roman" w:eastAsia="Times New Roman" w:hAnsi="Times New Roman" w:cs="Times New Roman"/>
                <w:sz w:val="21"/>
                <w:szCs w:val="21"/>
                <w:lang w:eastAsia="en-GB"/>
              </w:rPr>
              <w:t>ph</w:t>
            </w:r>
            <w:r w:rsidRPr="00D0114C">
              <w:rPr>
                <w:rFonts w:ascii="Times New Roman" w:eastAsia="Times New Roman" w:hAnsi="Times New Roman" w:cs="Times New Roman"/>
                <w:sz w:val="21"/>
                <w:szCs w:val="21"/>
                <w:lang w:eastAsia="en-GB"/>
              </w:rPr>
              <w:t>ide or water vapor, which could reduce the energy content of the gas and lower overall yield.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8979773"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A99D68A"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5AC85C13"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76860625"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1DA75820"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14</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7EC8D48"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Regularly clean and maintain the digester and associated equipment to prevent build-up of materials that could impede biogas production, such as grit or organic solids that are not effectively broken down by the digester.</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08F4CBD7"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23CB1ED"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5D829B20"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6FBE6B0E"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0EA6AC62"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15</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2B2FF7A8"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Implement proper mixing and agitation protocols to ensure that the feedstock is evenly distributed throughout the digester and microbial activity is not impeded by areas of low or high substrate concentration.</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6A3CA984"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44023B7"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1BA6F980"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0E3DCF00"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771DE3D4"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16</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50BA4403"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Monitor for the presence of toxic or inhibitory substances in the feedstock, such as heavy metals or pesticides, which could reduce microbial activity and lower biogas yield.</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14CFF4A5"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08E91159"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704B27AB"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20C57B12"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vAlign w:val="bottom"/>
            <w:hideMark/>
          </w:tcPr>
          <w:p w14:paraId="743ADA7C"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17</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10DCBCB0" w14:textId="1994049F" w:rsidR="00D0114C" w:rsidRPr="00D0114C" w:rsidRDefault="00D0114C" w:rsidP="00D0114C">
            <w:pPr>
              <w:spacing w:after="0" w:line="240" w:lineRule="auto"/>
              <w:rPr>
                <w:rFonts w:ascii="Times New Roman" w:eastAsia="Times New Roman" w:hAnsi="Times New Roman" w:cs="Times New Roman"/>
                <w:sz w:val="21"/>
                <w:szCs w:val="21"/>
                <w:lang w:eastAsia="en-GB"/>
              </w:rPr>
            </w:pPr>
            <w:r w:rsidRPr="00D0114C">
              <w:rPr>
                <w:rFonts w:ascii="Times New Roman" w:eastAsia="Times New Roman" w:hAnsi="Times New Roman" w:cs="Times New Roman"/>
                <w:sz w:val="21"/>
                <w:szCs w:val="21"/>
                <w:lang w:eastAsia="en-GB"/>
              </w:rPr>
              <w:t xml:space="preserve">Implement effective </w:t>
            </w:r>
            <w:r w:rsidRPr="00D0114C">
              <w:rPr>
                <w:rFonts w:ascii="Times New Roman" w:eastAsia="Times New Roman" w:hAnsi="Times New Roman" w:cs="Times New Roman"/>
                <w:sz w:val="21"/>
                <w:szCs w:val="21"/>
                <w:lang w:eastAsia="en-GB"/>
              </w:rPr>
              <w:t>odour</w:t>
            </w:r>
            <w:r w:rsidRPr="00D0114C">
              <w:rPr>
                <w:rFonts w:ascii="Times New Roman" w:eastAsia="Times New Roman" w:hAnsi="Times New Roman" w:cs="Times New Roman"/>
                <w:sz w:val="21"/>
                <w:szCs w:val="21"/>
                <w:lang w:eastAsia="en-GB"/>
              </w:rPr>
              <w:t xml:space="preserve"> control measures to minimize the release of unpleasant </w:t>
            </w:r>
            <w:r w:rsidRPr="00D0114C">
              <w:rPr>
                <w:rFonts w:ascii="Times New Roman" w:eastAsia="Times New Roman" w:hAnsi="Times New Roman" w:cs="Times New Roman"/>
                <w:sz w:val="21"/>
                <w:szCs w:val="21"/>
                <w:lang w:eastAsia="en-GB"/>
              </w:rPr>
              <w:t>odours</w:t>
            </w:r>
            <w:r w:rsidRPr="00D0114C">
              <w:rPr>
                <w:rFonts w:ascii="Times New Roman" w:eastAsia="Times New Roman" w:hAnsi="Times New Roman" w:cs="Times New Roman"/>
                <w:sz w:val="21"/>
                <w:szCs w:val="21"/>
                <w:lang w:eastAsia="en-GB"/>
              </w:rPr>
              <w:t xml:space="preserve"> and ensure compliance with local regulations.</w:t>
            </w: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7F3F664E" w14:textId="77777777" w:rsidR="00D0114C" w:rsidRPr="00D0114C" w:rsidRDefault="00D0114C" w:rsidP="00D0114C">
            <w:pPr>
              <w:spacing w:after="0" w:line="240" w:lineRule="auto"/>
              <w:rPr>
                <w:rFonts w:ascii="Times New Roman" w:eastAsia="Times New Roman" w:hAnsi="Times New Roman" w:cs="Times New Roman"/>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vAlign w:val="bottom"/>
            <w:hideMark/>
          </w:tcPr>
          <w:p w14:paraId="3E44AB48"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6" w:space="0" w:color="D9D9E3"/>
            </w:tcBorders>
            <w:vAlign w:val="bottom"/>
            <w:hideMark/>
          </w:tcPr>
          <w:p w14:paraId="6B6BC730"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r w:rsidR="00D0114C" w:rsidRPr="00D0114C" w14:paraId="3DAE36D5" w14:textId="77777777" w:rsidTr="00D0114C">
        <w:trPr>
          <w:tblCellSpacing w:w="15" w:type="dxa"/>
        </w:trPr>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530F141D" w14:textId="77777777" w:rsidR="00D0114C" w:rsidRPr="00D0114C" w:rsidRDefault="00D0114C" w:rsidP="00D0114C">
            <w:pPr>
              <w:spacing w:after="0" w:line="240" w:lineRule="auto"/>
              <w:rPr>
                <w:rFonts w:ascii="Segoe UI" w:eastAsia="Times New Roman" w:hAnsi="Segoe UI" w:cs="Segoe UI"/>
                <w:color w:val="374151"/>
                <w:sz w:val="21"/>
                <w:szCs w:val="21"/>
                <w:lang w:eastAsia="en-GB"/>
              </w:rPr>
            </w:pPr>
            <w:r w:rsidRPr="00D0114C">
              <w:rPr>
                <w:rFonts w:ascii="Segoe UI" w:eastAsia="Times New Roman" w:hAnsi="Segoe UI" w:cs="Segoe UI"/>
                <w:color w:val="374151"/>
                <w:sz w:val="21"/>
                <w:szCs w:val="21"/>
                <w:lang w:eastAsia="en-GB"/>
              </w:rPr>
              <w:t>18</w:t>
            </w: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04838DAE" w14:textId="77777777" w:rsidR="00D0114C" w:rsidRPr="00D0114C" w:rsidRDefault="00D0114C" w:rsidP="00D0114C">
            <w:pPr>
              <w:spacing w:after="0" w:line="240" w:lineRule="auto"/>
              <w:rPr>
                <w:rFonts w:ascii="Segoe UI" w:eastAsia="Times New Roman" w:hAnsi="Segoe UI" w:cs="Segoe UI"/>
                <w:color w:val="374151"/>
                <w:sz w:val="21"/>
                <w:szCs w:val="21"/>
                <w:lang w:eastAsia="en-GB"/>
              </w:rPr>
            </w:pP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45DF0A54"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tcBorders>
              <w:top w:val="single" w:sz="2" w:space="0" w:color="D9D9E3"/>
              <w:left w:val="single" w:sz="6" w:space="0" w:color="D9D9E3"/>
              <w:bottom w:val="single" w:sz="6" w:space="0" w:color="D9D9E3"/>
              <w:right w:val="single" w:sz="2" w:space="0" w:color="D9D9E3"/>
            </w:tcBorders>
            <w:shd w:val="clear" w:color="auto" w:fill="F7F7F8"/>
            <w:vAlign w:val="bottom"/>
            <w:hideMark/>
          </w:tcPr>
          <w:p w14:paraId="189C023F"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c>
          <w:tcPr>
            <w:tcW w:w="0" w:type="auto"/>
            <w:vAlign w:val="center"/>
            <w:hideMark/>
          </w:tcPr>
          <w:p w14:paraId="340EFA89" w14:textId="77777777" w:rsidR="00D0114C" w:rsidRPr="00D0114C" w:rsidRDefault="00D0114C" w:rsidP="00D0114C">
            <w:pPr>
              <w:spacing w:after="0" w:line="240" w:lineRule="auto"/>
              <w:rPr>
                <w:rFonts w:ascii="Times New Roman" w:eastAsia="Times New Roman" w:hAnsi="Times New Roman" w:cs="Times New Roman"/>
                <w:sz w:val="20"/>
                <w:szCs w:val="20"/>
                <w:lang w:eastAsia="en-GB"/>
              </w:rPr>
            </w:pPr>
          </w:p>
        </w:tc>
      </w:tr>
    </w:tbl>
    <w:p w14:paraId="1EBCC4C1" w14:textId="77777777" w:rsidR="00D63CB7" w:rsidRDefault="00000000"/>
    <w:sectPr w:rsidR="00D63CB7">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9BB9C7" w14:textId="77777777" w:rsidR="00345648" w:rsidRDefault="00345648" w:rsidP="00D0114C">
      <w:pPr>
        <w:spacing w:after="0" w:line="240" w:lineRule="auto"/>
      </w:pPr>
      <w:r>
        <w:separator/>
      </w:r>
    </w:p>
  </w:endnote>
  <w:endnote w:type="continuationSeparator" w:id="0">
    <w:p w14:paraId="3B20F6FD" w14:textId="77777777" w:rsidR="00345648" w:rsidRDefault="00345648" w:rsidP="00D011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982BA6" w14:textId="77777777" w:rsidR="00D0114C" w:rsidRDefault="00D011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27F7E" w14:textId="2BFD35AD" w:rsidR="00D0114C" w:rsidRDefault="00D0114C">
    <w:pPr>
      <w:pStyle w:val="Footer"/>
    </w:pPr>
    <w:r>
      <w:rPr>
        <w:noProof/>
      </w:rPr>
      <w:drawing>
        <wp:inline distT="0" distB="0" distL="0" distR="0" wp14:anchorId="02245061" wp14:editId="2B2EF52C">
          <wp:extent cx="2095500" cy="438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095500" cy="438150"/>
                  </a:xfrm>
                  <a:prstGeom prst="rect">
                    <a:avLst/>
                  </a:prstGeom>
                </pic:spPr>
              </pic:pic>
            </a:graphicData>
          </a:graphic>
        </wp:inline>
      </w:drawing>
    </w:r>
    <w:r w:rsidR="00380674">
      <w:tab/>
    </w:r>
    <w:r w:rsidR="00380674">
      <w:tab/>
      <w:t xml:space="preserve"> www.anaerobic-digestion.com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25F2F3" w14:textId="77777777" w:rsidR="00D0114C" w:rsidRDefault="00D011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26CFF" w14:textId="77777777" w:rsidR="00345648" w:rsidRDefault="00345648" w:rsidP="00D0114C">
      <w:pPr>
        <w:spacing w:after="0" w:line="240" w:lineRule="auto"/>
      </w:pPr>
      <w:r>
        <w:separator/>
      </w:r>
    </w:p>
  </w:footnote>
  <w:footnote w:type="continuationSeparator" w:id="0">
    <w:p w14:paraId="518BD61F" w14:textId="77777777" w:rsidR="00345648" w:rsidRDefault="00345648" w:rsidP="00D011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36A82" w14:textId="77777777" w:rsidR="00D0114C" w:rsidRDefault="00D011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7D739" w14:textId="2645349C" w:rsidR="00D0114C" w:rsidRPr="00D0114C" w:rsidRDefault="00D0114C">
    <w:pPr>
      <w:pStyle w:val="Header"/>
      <w:rPr>
        <w:b/>
        <w:bCs/>
        <w:sz w:val="32"/>
        <w:szCs w:val="32"/>
      </w:rPr>
    </w:pPr>
    <w:r w:rsidRPr="00D0114C">
      <w:rPr>
        <w:b/>
        <w:bCs/>
        <w:sz w:val="32"/>
        <w:szCs w:val="32"/>
      </w:rPr>
      <w:t>High Biogas Yield Checklist for Anaerobic Digestion Plant Operators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F1AB3" w14:textId="77777777" w:rsidR="00D0114C" w:rsidRDefault="00D0114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114C"/>
    <w:rsid w:val="00345648"/>
    <w:rsid w:val="00380674"/>
    <w:rsid w:val="004F1CFB"/>
    <w:rsid w:val="00A34288"/>
    <w:rsid w:val="00A50392"/>
    <w:rsid w:val="00D011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3F6A04F"/>
  <w15:chartTrackingRefBased/>
  <w15:docId w15:val="{124D227B-CCCD-4B98-9B64-1B28F3BAB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4288"/>
    <w:pPr>
      <w:keepNext/>
      <w:keepLines/>
      <w:spacing w:before="320" w:after="40" w:line="276" w:lineRule="auto"/>
      <w:jc w:val="both"/>
      <w:outlineLvl w:val="0"/>
    </w:pPr>
    <w:rPr>
      <w:rFonts w:ascii="Calibri" w:eastAsiaTheme="majorEastAsia" w:hAnsi="Calibri" w:cstheme="majorBidi"/>
      <w:b/>
      <w:bCs/>
      <w:caps/>
      <w:spacing w:val="4"/>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4288"/>
    <w:rPr>
      <w:rFonts w:ascii="Calibri" w:eastAsiaTheme="majorEastAsia" w:hAnsi="Calibri" w:cstheme="majorBidi"/>
      <w:b/>
      <w:bCs/>
      <w:caps/>
      <w:spacing w:val="4"/>
      <w:sz w:val="24"/>
      <w:szCs w:val="28"/>
    </w:rPr>
  </w:style>
  <w:style w:type="paragraph" w:styleId="Header">
    <w:name w:val="header"/>
    <w:basedOn w:val="Normal"/>
    <w:link w:val="HeaderChar"/>
    <w:uiPriority w:val="99"/>
    <w:unhideWhenUsed/>
    <w:rsid w:val="00D011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114C"/>
  </w:style>
  <w:style w:type="paragraph" w:styleId="Footer">
    <w:name w:val="footer"/>
    <w:basedOn w:val="Normal"/>
    <w:link w:val="FooterChar"/>
    <w:uiPriority w:val="99"/>
    <w:unhideWhenUsed/>
    <w:rsid w:val="00D011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11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363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485</Words>
  <Characters>2767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Last</dc:creator>
  <cp:keywords/>
  <dc:description/>
  <cp:lastModifiedBy>Steve Last</cp:lastModifiedBy>
  <cp:revision>1</cp:revision>
  <dcterms:created xsi:type="dcterms:W3CDTF">2023-04-15T21:41:00Z</dcterms:created>
  <dcterms:modified xsi:type="dcterms:W3CDTF">2023-04-15T21:54:00Z</dcterms:modified>
</cp:coreProperties>
</file>